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5"/>
        </w:rPr>
        <w:t>實驗室生物醫療廢棄物每週清運申報表</w:t>
      </w:r>
    </w:p>
    <w:p>
      <w:pPr>
        <w:pStyle w:val="BodyText"/>
        <w:spacing w:before="4"/>
        <w:ind w:left="0" w:firstLine="0"/>
        <w:rPr>
          <w:b/>
          <w:sz w:val="1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2268"/>
        <w:gridCol w:w="1843"/>
      </w:tblGrid>
      <w:tr>
        <w:trPr>
          <w:trHeight w:val="719" w:hRule="atLeast"/>
        </w:trPr>
        <w:tc>
          <w:tcPr>
            <w:tcW w:w="4361" w:type="dxa"/>
          </w:tcPr>
          <w:p>
            <w:pPr>
              <w:pStyle w:val="TableParagraph"/>
              <w:spacing w:before="193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廢棄物種類</w:t>
            </w:r>
          </w:p>
        </w:tc>
        <w:tc>
          <w:tcPr>
            <w:tcW w:w="2268" w:type="dxa"/>
          </w:tcPr>
          <w:p>
            <w:pPr>
              <w:pStyle w:val="TableParagraph"/>
              <w:spacing w:before="193"/>
              <w:ind w:left="108" w:right="-58"/>
              <w:rPr>
                <w:sz w:val="28"/>
              </w:rPr>
            </w:pPr>
            <w:r>
              <w:rPr>
                <w:spacing w:val="-8"/>
                <w:sz w:val="28"/>
              </w:rPr>
              <w:t>數量（箱/瓶/盒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843" w:type="dxa"/>
          </w:tcPr>
          <w:p>
            <w:pPr>
              <w:pStyle w:val="TableParagraph"/>
              <w:spacing w:before="193"/>
              <w:ind w:left="221"/>
              <w:rPr>
                <w:sz w:val="28"/>
              </w:rPr>
            </w:pPr>
            <w:r>
              <w:rPr>
                <w:sz w:val="28"/>
              </w:rPr>
              <w:t>重量</w:t>
            </w:r>
            <w:r>
              <w:rPr>
                <w:spacing w:val="-4"/>
                <w:sz w:val="28"/>
              </w:rPr>
              <w:t>（kg）</w:t>
            </w:r>
          </w:p>
        </w:tc>
      </w:tr>
      <w:tr>
        <w:trPr>
          <w:trHeight w:val="719" w:hRule="atLeast"/>
        </w:trPr>
        <w:tc>
          <w:tcPr>
            <w:tcW w:w="4361" w:type="dxa"/>
          </w:tcPr>
          <w:p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□受污染動物屍體、殘肢及墊料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36" w:hRule="atLeast"/>
        </w:trPr>
        <w:tc>
          <w:tcPr>
            <w:tcW w:w="4361" w:type="dxa"/>
          </w:tcPr>
          <w:p>
            <w:pPr>
              <w:pStyle w:val="TableParagraph"/>
              <w:spacing w:before="19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□感染性廢棄物混合物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20" w:hRule="atLeast"/>
        </w:trPr>
        <w:tc>
          <w:tcPr>
            <w:tcW w:w="4361" w:type="dxa"/>
          </w:tcPr>
          <w:p>
            <w:pPr>
              <w:pStyle w:val="TableParagraph"/>
              <w:spacing w:line="560" w:lineRule="atLeast"/>
              <w:ind w:left="390" w:right="233" w:hanging="28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ascii="Times New Roman" w:hAnsi="Times New Roman" w:eastAsia="Times New Roman"/>
                <w:b/>
                <w:sz w:val="28"/>
              </w:rPr>
              <w:t>C-0149</w:t>
            </w:r>
            <w:r>
              <w:rPr>
                <w:rFonts w:ascii="Times New Roman" w:hAnsi="Times New Roman" w:eastAsia="Times New Roman"/>
                <w:b/>
                <w:spacing w:val="-18"/>
                <w:sz w:val="28"/>
              </w:rPr>
              <w:t> </w:t>
            </w:r>
            <w:r>
              <w:rPr>
                <w:sz w:val="28"/>
              </w:rPr>
              <w:t>其他含有機氯污染物且</w:t>
            </w:r>
            <w:r>
              <w:rPr>
                <w:spacing w:val="-2"/>
                <w:sz w:val="28"/>
              </w:rPr>
              <w:t>超過溶出標準之混合廢棄物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80" w:hRule="atLeast"/>
        </w:trPr>
        <w:tc>
          <w:tcPr>
            <w:tcW w:w="4361" w:type="dxa"/>
          </w:tcPr>
          <w:p>
            <w:pPr>
              <w:pStyle w:val="TableParagraph"/>
              <w:spacing w:line="560" w:lineRule="atLeast"/>
              <w:ind w:left="532" w:right="93" w:hanging="428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□</w:t>
            </w:r>
            <w:r>
              <w:rPr>
                <w:rFonts w:ascii="Times New Roman" w:hAnsi="Times New Roman" w:eastAsia="Times New Roman"/>
                <w:b/>
                <w:spacing w:val="-8"/>
                <w:sz w:val="28"/>
              </w:rPr>
              <w:t>C-0301</w:t>
            </w:r>
            <w:r>
              <w:rPr>
                <w:rFonts w:ascii="Times New Roman" w:hAnsi="Times New Roman" w:eastAsia="Times New Roman"/>
                <w:b/>
                <w:spacing w:val="-10"/>
                <w:sz w:val="28"/>
              </w:rPr>
              <w:t> </w:t>
            </w:r>
            <w:r>
              <w:rPr>
                <w:spacing w:val="-8"/>
                <w:sz w:val="28"/>
              </w:rPr>
              <w:t>廢液閃火點小於</w:t>
            </w:r>
            <w:r>
              <w:rPr>
                <w:rFonts w:ascii="Times New Roman" w:hAnsi="Times New Roman" w:eastAsia="Times New Roman"/>
                <w:spacing w:val="26"/>
                <w:sz w:val="28"/>
              </w:rPr>
              <w:t>60</w:t>
            </w:r>
            <w:r>
              <w:rPr>
                <w:rFonts w:ascii="新細明體" w:hAnsi="新細明體" w:eastAsia="新細明體"/>
                <w:spacing w:val="-114"/>
                <w:sz w:val="28"/>
              </w:rPr>
              <w:t>℃</w:t>
            </w:r>
            <w:r>
              <w:rPr>
                <w:spacing w:val="28"/>
                <w:sz w:val="28"/>
              </w:rPr>
              <w:t>（</w:t>
            </w:r>
            <w:r>
              <w:rPr>
                <w:spacing w:val="-8"/>
                <w:sz w:val="28"/>
              </w:rPr>
              <w:t>不</w:t>
            </w:r>
            <w:r>
              <w:rPr>
                <w:spacing w:val="-4"/>
                <w:sz w:val="28"/>
              </w:rPr>
              <w:t>包含乙醇體積濃度小於 </w:t>
            </w:r>
            <w:r>
              <w:rPr>
                <w:rFonts w:ascii="Times New Roman" w:hAnsi="Times New Roman" w:eastAsia="Times New Roman"/>
                <w:sz w:val="28"/>
              </w:rPr>
              <w:t>24%</w:t>
            </w:r>
            <w:r>
              <w:rPr>
                <w:sz w:val="28"/>
              </w:rPr>
              <w:t>之</w:t>
            </w:r>
            <w:r>
              <w:rPr>
                <w:spacing w:val="-2"/>
                <w:sz w:val="28"/>
              </w:rPr>
              <w:t>酒類廢棄物）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20" w:hRule="atLeast"/>
        </w:trPr>
        <w:tc>
          <w:tcPr>
            <w:tcW w:w="4361" w:type="dxa"/>
          </w:tcPr>
          <w:p>
            <w:pPr>
              <w:pStyle w:val="TableParagraph"/>
              <w:spacing w:line="560" w:lineRule="atLeast"/>
              <w:ind w:left="390" w:right="233" w:hanging="28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ascii="Times New Roman" w:hAnsi="Times New Roman" w:eastAsia="Times New Roman"/>
                <w:b/>
                <w:sz w:val="28"/>
              </w:rPr>
              <w:t>C-0399</w:t>
            </w:r>
            <w:r>
              <w:rPr>
                <w:rFonts w:ascii="Times New Roman" w:hAnsi="Times New Roman" w:eastAsia="Times New Roman"/>
                <w:b/>
                <w:spacing w:val="-18"/>
                <w:sz w:val="28"/>
              </w:rPr>
              <w:t> </w:t>
            </w:r>
            <w:r>
              <w:rPr>
                <w:sz w:val="28"/>
              </w:rPr>
              <w:t>其他易燃性事業廢棄物</w:t>
            </w:r>
            <w:r>
              <w:rPr>
                <w:spacing w:val="-4"/>
                <w:sz w:val="28"/>
              </w:rPr>
              <w:t>混合物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440" w:hRule="atLeast"/>
        </w:trPr>
        <w:tc>
          <w:tcPr>
            <w:tcW w:w="8472" w:type="dxa"/>
            <w:gridSpan w:val="3"/>
          </w:tcPr>
          <w:p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□ 本週無需清運，說明：</w:t>
            </w:r>
          </w:p>
        </w:tc>
      </w:tr>
    </w:tbl>
    <w:p>
      <w:pPr>
        <w:pStyle w:val="BodyText"/>
        <w:spacing w:before="20"/>
        <w:ind w:left="0" w:firstLine="0"/>
        <w:rPr>
          <w:b/>
          <w:sz w:val="32"/>
        </w:rPr>
      </w:pPr>
    </w:p>
    <w:p>
      <w:pPr>
        <w:pStyle w:val="Heading2"/>
        <w:tabs>
          <w:tab w:pos="3806" w:val="left" w:leader="none"/>
          <w:tab w:pos="4579" w:val="left" w:leader="none"/>
          <w:tab w:pos="6494" w:val="left" w:leader="none"/>
          <w:tab w:pos="7334" w:val="left" w:leader="none"/>
          <w:tab w:pos="8175" w:val="left" w:leader="none"/>
        </w:tabs>
      </w:pPr>
      <w:r>
        <w:rPr>
          <w:spacing w:val="-8"/>
        </w:rPr>
        <w:t>填表人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none"/>
        </w:rPr>
        <w:tab/>
      </w:r>
      <w:r>
        <w:rPr>
          <w:spacing w:val="-6"/>
          <w:u w:val="none"/>
        </w:rPr>
        <w:t>填表日期</w:t>
      </w:r>
      <w:r>
        <w:rPr>
          <w:spacing w:val="-10"/>
          <w:u w:val="none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none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none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none"/>
        </w:rPr>
        <w:t>日</w:t>
      </w:r>
    </w:p>
    <w:p>
      <w:pPr>
        <w:pStyle w:val="BodyText"/>
        <w:spacing w:before="149"/>
        <w:ind w:left="0" w:firstLine="0"/>
      </w:pPr>
    </w:p>
    <w:p>
      <w:pPr>
        <w:pStyle w:val="BodyText"/>
        <w:ind w:left="241" w:firstLine="0"/>
      </w:pPr>
      <w:r>
        <w:rPr>
          <w:spacing w:val="-5"/>
        </w:rPr>
        <w:t>【注意事項】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601" w:val="left" w:leader="none"/>
        </w:tabs>
        <w:spacing w:line="283" w:lineRule="auto" w:before="62" w:after="0"/>
        <w:ind w:left="601" w:right="99" w:hanging="360"/>
        <w:jc w:val="left"/>
        <w:rPr>
          <w:sz w:val="26"/>
        </w:rPr>
      </w:pPr>
      <w:r>
        <w:rPr>
          <w:spacing w:val="-2"/>
          <w:sz w:val="26"/>
        </w:rPr>
        <w:t>請於廠商到校清運廢棄物前繳交本申報表送至研發處（至遲為週二中午前</w:t>
      </w:r>
      <w:r>
        <w:rPr>
          <w:spacing w:val="-130"/>
          <w:sz w:val="26"/>
        </w:rPr>
        <w:t>）</w:t>
      </w:r>
      <w:r>
        <w:rPr>
          <w:spacing w:val="-2"/>
          <w:sz w:val="26"/>
        </w:rPr>
        <w:t>，以利承辦人員印製三聯單。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601" w:val="left" w:leader="none"/>
        </w:tabs>
        <w:spacing w:line="283" w:lineRule="auto" w:before="2" w:after="0"/>
        <w:ind w:left="601" w:right="98" w:hanging="360"/>
        <w:jc w:val="both"/>
        <w:rPr>
          <w:sz w:val="26"/>
        </w:rPr>
      </w:pPr>
      <w:r>
        <w:rPr>
          <w:spacing w:val="-2"/>
          <w:sz w:val="26"/>
        </w:rPr>
        <w:t>依規定每週清運事業廢棄物乙次，如有特殊狀況，請務必通知研發處承</w:t>
      </w:r>
      <w:r>
        <w:rPr>
          <w:spacing w:val="-6"/>
          <w:sz w:val="26"/>
        </w:rPr>
        <w:t>辦人員，並將廢棄物貯存於 </w:t>
      </w:r>
      <w:r>
        <w:rPr>
          <w:spacing w:val="-4"/>
          <w:sz w:val="26"/>
        </w:rPr>
        <w:t>0℃以下之地點。如未確實通知以致影響申</w:t>
      </w:r>
      <w:r>
        <w:rPr>
          <w:spacing w:val="-2"/>
          <w:sz w:val="26"/>
        </w:rPr>
        <w:t>報作業，請實驗室負擔相關法律責任。</w:t>
      </w:r>
    </w:p>
    <w:p>
      <w:pPr>
        <w:pStyle w:val="BodyText"/>
        <w:spacing w:line="283" w:lineRule="auto"/>
        <w:ind w:right="99"/>
        <w:jc w:val="both"/>
      </w:pPr>
      <w:r>
        <w:rPr>
          <w:spacing w:val="-2"/>
        </w:rPr>
        <w:t>3.</w:t>
      </w:r>
      <w:r>
        <w:rPr>
          <w:rFonts w:ascii="Times New Roman" w:eastAsia="Times New Roman"/>
          <w:spacing w:val="-2"/>
        </w:rPr>
        <w:t>C-0149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C-0301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C-0399</w:t>
      </w:r>
      <w:r>
        <w:rPr>
          <w:rFonts w:ascii="Times New Roman" w:eastAsia="Times New Roman"/>
          <w:spacing w:val="-15"/>
        </w:rPr>
        <w:t> </w:t>
      </w:r>
      <w:r>
        <w:rPr>
          <w:spacing w:val="-2"/>
        </w:rPr>
        <w:t>為每年清運一次，仍請每週秤量及填寫，並請妥善保存。</w:t>
      </w:r>
    </w:p>
    <w:p>
      <w:pPr>
        <w:pStyle w:val="BodyText"/>
        <w:spacing w:line="285" w:lineRule="auto"/>
        <w:ind w:right="98"/>
      </w:pPr>
      <w:r>
        <w:rPr>
          <w:spacing w:val="-2"/>
        </w:rPr>
        <w:t>4.感染性廢棄物係以容器數量計價，如超量將另計超桶費，故包裝時請</w:t>
      </w:r>
      <w:r>
        <w:rPr>
          <w:spacing w:val="-2"/>
        </w:rPr>
        <w:t>儘</w:t>
      </w:r>
      <w:r>
        <w:rPr>
          <w:spacing w:val="-2"/>
        </w:rPr>
        <w:t>量壓縮廢棄物，避免浪費經費資源。</w:t>
      </w:r>
    </w:p>
    <w:sectPr>
      <w:type w:val="continuous"/>
      <w:pgSz w:w="11910" w:h="16840"/>
      <w:pgMar w:top="154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新細明體">
    <w:altName w:val="新細明體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1" w:hanging="26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04" w:hanging="26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09" w:hanging="26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14" w:hanging="26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818" w:hanging="26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623" w:hanging="26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428" w:hanging="26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233" w:hanging="26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037" w:hanging="2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601" w:hanging="360"/>
    </w:pPr>
    <w:rPr>
      <w:rFonts w:ascii="標楷體" w:hAnsi="標楷體" w:eastAsia="標楷體" w:cs="標楷體"/>
      <w:sz w:val="26"/>
      <w:szCs w:val="26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52"/>
      <w:ind w:left="140"/>
      <w:jc w:val="center"/>
      <w:outlineLvl w:val="1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Heading2" w:type="paragraph">
    <w:name w:val="Heading 2"/>
    <w:basedOn w:val="Normal"/>
    <w:uiPriority w:val="1"/>
    <w:qFormat/>
    <w:pPr>
      <w:ind w:left="145"/>
      <w:jc w:val="center"/>
      <w:outlineLvl w:val="2"/>
    </w:pPr>
    <w:rPr>
      <w:rFonts w:ascii="標楷體" w:hAnsi="標楷體" w:eastAsia="標楷體" w:cs="標楷體"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601" w:right="98" w:hanging="360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peiyun</dc:creator>
  <dc:title>天母校區實驗室生物醫療廢棄物每週清運申報量</dc:title>
  <dcterms:created xsi:type="dcterms:W3CDTF">2026-03-11T08:08:49Z</dcterms:created>
  <dcterms:modified xsi:type="dcterms:W3CDTF">2026-03-11T08:08:49Z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2010</vt:lpwstr>
  </property>
</Properties>
</file>